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375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2805" cy="102552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5" t="24902" r="29915" b="2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82A">
        <w:rPr>
          <w:b/>
          <w:sz w:val="28"/>
          <w:szCs w:val="28"/>
        </w:rPr>
        <w:t>COMUNE DI ACQUI TERME</w:t>
      </w:r>
    </w:p>
    <w:p w:rsidR="00000000" w:rsidRDefault="00FB082A">
      <w:pPr>
        <w:jc w:val="center"/>
        <w:rPr>
          <w:b/>
          <w:sz w:val="28"/>
          <w:szCs w:val="28"/>
        </w:rPr>
      </w:pPr>
    </w:p>
    <w:p w:rsidR="00000000" w:rsidRDefault="00FB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  EROGATI  II° SEMESTRE 2015</w:t>
      </w:r>
    </w:p>
    <w:p w:rsidR="00000000" w:rsidRDefault="00FB082A">
      <w:pPr>
        <w:jc w:val="center"/>
        <w:rPr>
          <w:b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59"/>
        <w:gridCol w:w="3259"/>
        <w:gridCol w:w="3320"/>
      </w:tblGrid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EROGATI ALL’UTENZA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 CONTABILIZZATI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COSTI DEL PERSONALE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ANAGRAFE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4.410,68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107.458,15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STATO CIVILE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1.470,22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53.729,07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ELETTORALE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1.470,23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53.729,07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TRIBUTI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18.315,18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184.928,24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PER L’EDILIZIA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2.000,00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105.527,68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ATTIVITA’ PRODUTTIVE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1.782,79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48.132,38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ASILI NIDO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20.481,42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132.850,73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16.279,61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72.205,36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MENSA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108.</w:t>
            </w:r>
            <w:r>
              <w:rPr>
                <w:b/>
                <w:sz w:val="28"/>
                <w:szCs w:val="28"/>
              </w:rPr>
              <w:t>080,01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84.564,08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POLIZIA MUNICIPALE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78.152,03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pacing w:after="0" w:line="240" w:lineRule="auto"/>
              <w:jc w:val="right"/>
            </w:pPr>
            <w:r>
              <w:rPr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601.410,02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B082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B082A" w:rsidRDefault="00FB082A">
      <w:pPr>
        <w:rPr>
          <w:b/>
          <w:sz w:val="28"/>
          <w:szCs w:val="28"/>
        </w:rPr>
      </w:pPr>
    </w:p>
    <w:sectPr w:rsidR="00FB082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375A"/>
    <w:rsid w:val="0023375A"/>
    <w:rsid w:val="00FB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2</cp:revision>
  <cp:lastPrinted>2016-01-28T14:04:00Z</cp:lastPrinted>
  <dcterms:created xsi:type="dcterms:W3CDTF">2016-01-29T09:07:00Z</dcterms:created>
  <dcterms:modified xsi:type="dcterms:W3CDTF">2016-01-29T09:07:00Z</dcterms:modified>
</cp:coreProperties>
</file>